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bookmarkStart w:id="0" w:name="_GoBack"/>
      <w:bookmarkEnd w:id="0"/>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ABA52" w14:textId="77777777" w:rsidR="00010C9D" w:rsidRDefault="00010C9D">
      <w:r>
        <w:separator/>
      </w:r>
    </w:p>
  </w:endnote>
  <w:endnote w:type="continuationSeparator" w:id="0">
    <w:p w14:paraId="1E09C2DF" w14:textId="77777777" w:rsidR="00010C9D" w:rsidRDefault="0001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4D65B0">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4D65B0" w:rsidRPr="004D65B0">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8ECA8" w14:textId="77777777" w:rsidR="00010C9D" w:rsidRDefault="00010C9D">
      <w:r>
        <w:separator/>
      </w:r>
    </w:p>
  </w:footnote>
  <w:footnote w:type="continuationSeparator" w:id="0">
    <w:p w14:paraId="266BE435" w14:textId="77777777" w:rsidR="00010C9D" w:rsidRDefault="0001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1076" w14:textId="5A1D1B7C" w:rsidR="009817A8" w:rsidRDefault="009817A8" w:rsidP="00AF77D0">
    <w:pPr>
      <w:pStyle w:val="Nagwek"/>
      <w:jc w:val="right"/>
      <w:rPr>
        <w:sz w:val="20"/>
        <w:szCs w:val="20"/>
      </w:rPr>
    </w:pPr>
    <w:r w:rsidRPr="009817A8">
      <w:rPr>
        <w:sz w:val="20"/>
        <w:szCs w:val="20"/>
      </w:rPr>
      <w:t>Załącznik nr 7.</w:t>
    </w:r>
    <w:r w:rsidR="004D65B0">
      <w:rPr>
        <w:sz w:val="20"/>
        <w:szCs w:val="20"/>
      </w:rPr>
      <w:t>5.</w:t>
    </w:r>
    <w:r w:rsidRPr="009817A8">
      <w:rPr>
        <w:sz w:val="20"/>
        <w:szCs w:val="20"/>
      </w:rPr>
      <w:t xml:space="preserve"> do Regulaminu naboru wniosków o </w:t>
    </w:r>
    <w:r w:rsidR="00AF2AD9">
      <w:rPr>
        <w:sz w:val="20"/>
        <w:szCs w:val="20"/>
      </w:rPr>
      <w:t>przyznanie pomocy Nr 1/2026/OK/</w:t>
    </w:r>
    <w:r w:rsidR="00AF2AD9" w:rsidRPr="00AF2AD9">
      <w:rPr>
        <w:sz w:val="20"/>
        <w:szCs w:val="20"/>
      </w:rPr>
      <w:t>ROZWÓJ</w:t>
    </w:r>
    <w:r w:rsidR="0089171C">
      <w:rPr>
        <w:sz w:val="20"/>
        <w:szCs w:val="20"/>
      </w:rPr>
      <w:t>ZE</w:t>
    </w:r>
  </w:p>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0C9D"/>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B47A2"/>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3A57"/>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D65B0"/>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B2C6E"/>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171C"/>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17A8"/>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2AD9"/>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03FD"/>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957A0A6-D0FF-42CB-94AC-47B04DDF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user</cp:lastModifiedBy>
  <cp:revision>8</cp:revision>
  <cp:lastPrinted>2022-06-14T12:56:00Z</cp:lastPrinted>
  <dcterms:created xsi:type="dcterms:W3CDTF">2025-05-20T07:47:00Z</dcterms:created>
  <dcterms:modified xsi:type="dcterms:W3CDTF">2026-05-28T07:12:00Z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